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10" w:leftChars="-100" w:right="336"/>
        <w:jc w:val="center"/>
        <w:rPr>
          <w:rFonts w:hint="eastAsia" w:ascii="黑体" w:hAnsi="黑体" w:eastAsia="黑体"/>
          <w:spacing w:val="-6"/>
          <w:sz w:val="28"/>
          <w:szCs w:val="28"/>
        </w:rPr>
      </w:pPr>
      <w:r>
        <w:rPr>
          <w:rFonts w:hint="eastAsia" w:ascii="黑体" w:hAnsi="黑体" w:eastAsia="黑体"/>
          <w:spacing w:val="-6"/>
          <w:sz w:val="28"/>
          <w:szCs w:val="28"/>
        </w:rPr>
        <w:t>安徽</w:t>
      </w:r>
      <w:r>
        <w:rPr>
          <w:rFonts w:hint="eastAsia" w:ascii="黑体" w:hAnsi="黑体" w:eastAsia="黑体"/>
          <w:spacing w:val="-6"/>
          <w:sz w:val="28"/>
          <w:szCs w:val="28"/>
          <w:lang w:eastAsia="zh-CN"/>
        </w:rPr>
        <w:t>建筑大学</w:t>
      </w:r>
      <w:r>
        <w:rPr>
          <w:rFonts w:hint="eastAsia" w:ascii="黑体" w:hAnsi="黑体" w:eastAsia="黑体"/>
          <w:spacing w:val="-6"/>
          <w:sz w:val="28"/>
          <w:szCs w:val="28"/>
        </w:rPr>
        <w:t>成人高等教育函授站（</w:t>
      </w:r>
      <w:r>
        <w:rPr>
          <w:rFonts w:hint="eastAsia" w:ascii="黑体" w:hAnsi="黑体" w:eastAsia="黑体"/>
          <w:spacing w:val="-6"/>
          <w:sz w:val="28"/>
          <w:szCs w:val="28"/>
          <w:lang w:eastAsia="zh-CN"/>
        </w:rPr>
        <w:t>数字化学习中心</w:t>
      </w:r>
      <w:r>
        <w:rPr>
          <w:rFonts w:hint="eastAsia" w:ascii="黑体" w:hAnsi="黑体" w:eastAsia="黑体"/>
          <w:spacing w:val="-6"/>
          <w:sz w:val="28"/>
          <w:szCs w:val="28"/>
        </w:rPr>
        <w:t>）考核指标与评分标准</w:t>
      </w:r>
    </w:p>
    <w:p>
      <w:pPr>
        <w:ind w:right="-275" w:firstLine="433" w:firstLineChars="196"/>
        <w:jc w:val="center"/>
        <w:rPr>
          <w:rFonts w:hint="eastAsia" w:ascii="仿宋_GB2312" w:hAnsi="宋体" w:eastAsia="仿宋_GB2312"/>
          <w:b/>
          <w:bCs/>
          <w:sz w:val="22"/>
        </w:rPr>
      </w:pPr>
      <w:r>
        <w:rPr>
          <w:rFonts w:hint="eastAsia" w:ascii="仿宋_GB2312" w:hAnsi="宋体" w:eastAsia="仿宋_GB2312"/>
          <w:b/>
          <w:bCs/>
          <w:sz w:val="22"/>
        </w:rPr>
        <w:t>函授站（点）名称：</w:t>
      </w:r>
      <w:r>
        <w:rPr>
          <w:rFonts w:hint="eastAsia" w:ascii="仿宋_GB2312" w:hAnsi="宋体" w:eastAsia="仿宋_GB2312"/>
          <w:b/>
          <w:bCs/>
          <w:sz w:val="22"/>
          <w:u w:val="single"/>
        </w:rPr>
        <w:t xml:space="preserve">                 </w:t>
      </w:r>
      <w:r>
        <w:rPr>
          <w:rFonts w:hint="eastAsia" w:ascii="仿宋_GB2312" w:hAnsi="宋体" w:eastAsia="仿宋_GB2312"/>
          <w:b/>
          <w:bCs/>
          <w:sz w:val="22"/>
        </w:rPr>
        <w:t xml:space="preserve">                                    年    月    日</w:t>
      </w:r>
    </w:p>
    <w:p>
      <w:pPr>
        <w:ind w:right="-275" w:firstLine="433" w:firstLineChars="196"/>
        <w:jc w:val="center"/>
        <w:rPr>
          <w:rFonts w:hint="eastAsia" w:ascii="仿宋_GB2312" w:hAnsi="宋体" w:eastAsia="仿宋_GB2312"/>
          <w:b/>
          <w:bCs/>
          <w:sz w:val="22"/>
        </w:rPr>
      </w:pPr>
    </w:p>
    <w:p>
      <w:pPr>
        <w:ind w:right="-275" w:firstLine="433" w:firstLineChars="196"/>
        <w:jc w:val="center"/>
        <w:rPr>
          <w:rFonts w:hint="eastAsia" w:ascii="仿宋_GB2312" w:hAnsi="宋体" w:eastAsia="仿宋_GB2312"/>
          <w:b/>
          <w:bCs/>
          <w:sz w:val="22"/>
        </w:rPr>
      </w:pP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762"/>
        <w:gridCol w:w="1316"/>
        <w:gridCol w:w="6751"/>
        <w:gridCol w:w="1352"/>
        <w:gridCol w:w="1355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Calibri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类别</w:t>
            </w:r>
          </w:p>
        </w:tc>
        <w:tc>
          <w:tcPr>
            <w:tcW w:w="2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序号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Calibri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指标</w:t>
            </w:r>
          </w:p>
        </w:tc>
        <w:tc>
          <w:tcPr>
            <w:tcW w:w="2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Calibri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评分标准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Calibri"/>
                <w:szCs w:val="21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对照说明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档案资料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办学保障</w:t>
            </w:r>
          </w:p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（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20分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）</w:t>
            </w:r>
          </w:p>
        </w:tc>
        <w:tc>
          <w:tcPr>
            <w:tcW w:w="2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1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运行模式</w:t>
            </w:r>
          </w:p>
        </w:tc>
        <w:tc>
          <w:tcPr>
            <w:tcW w:w="2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具有独立法人资格，实行站长（主任）负责制。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2分。</w:t>
            </w:r>
          </w:p>
          <w:p>
            <w:pPr>
              <w:spacing w:line="280" w:lineRule="exact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①站长（主任）不是单位法人代表或分管领导，扣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1分；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②站长（主任）因工作调整，未能及时上报、备案的，扣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1分。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lang w:val="en-US" w:eastAsia="zh-CN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4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2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队伍建设</w:t>
            </w:r>
          </w:p>
        </w:tc>
        <w:tc>
          <w:tcPr>
            <w:tcW w:w="2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配齐管理人员，不断提升自身管理水平和业务能力。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5分。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default" w:ascii="华文仿宋" w:hAnsi="华文仿宋" w:eastAsia="华文仿宋"/>
                <w:color w:val="000000"/>
                <w:lang w:eastAsia="zh-CN"/>
              </w:rPr>
              <w:t>①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没有按照规定配齐管理人员、辅导教师，每少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人扣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0.5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分；</w:t>
            </w:r>
          </w:p>
          <w:p>
            <w:pPr>
              <w:spacing w:line="280" w:lineRule="exact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default" w:ascii="华文仿宋" w:hAnsi="华文仿宋" w:eastAsia="华文仿宋"/>
                <w:color w:val="000000"/>
                <w:lang w:eastAsia="zh-CN"/>
              </w:rPr>
              <w:t>②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管理人员、辅导教师资格不符要求，每发现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1人扣0.5分；</w:t>
            </w:r>
            <w:bookmarkStart w:id="0" w:name="_GoBack"/>
            <w:bookmarkEnd w:id="0"/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default" w:ascii="华文仿宋" w:hAnsi="华文仿宋" w:eastAsia="华文仿宋"/>
                <w:color w:val="000000"/>
                <w:lang w:eastAsia="zh-CN"/>
              </w:rPr>
              <w:t>③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没有配备教育信息技术专业人员，扣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0.5分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；</w:t>
            </w:r>
          </w:p>
          <w:p>
            <w:pPr>
              <w:spacing w:line="280" w:lineRule="exact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④没有组织人员参加省内外有关专题培训会议，扣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2分。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lang w:val="en-US" w:eastAsia="zh-CN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4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3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办学条件</w:t>
            </w:r>
          </w:p>
        </w:tc>
        <w:tc>
          <w:tcPr>
            <w:tcW w:w="2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办学条件优良，全部达到数字化学习支持服务中心建设标准。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5分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。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default" w:ascii="华文仿宋" w:hAnsi="华文仿宋" w:eastAsia="华文仿宋"/>
                <w:color w:val="000000"/>
                <w:lang w:eastAsia="zh-CN"/>
              </w:rPr>
              <w:t>①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教室座位与在校生人数之比低于1:5，扣1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.5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分；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default" w:ascii="华文仿宋" w:hAnsi="华文仿宋" w:eastAsia="华文仿宋"/>
                <w:color w:val="000000"/>
                <w:lang w:eastAsia="zh-CN"/>
              </w:rPr>
              <w:t>②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无标准化考场和电子阅览室，扣1分；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default" w:ascii="华文仿宋" w:hAnsi="华文仿宋" w:eastAsia="华文仿宋"/>
                <w:color w:val="000000"/>
                <w:lang w:eastAsia="zh-CN"/>
              </w:rPr>
              <w:t>③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考场和电子阅览室联网计算机台数与学习人数之比低于1:25，扣1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.5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分；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④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缺乏满足数字化学习支持服务需要的硬件系统条件，不能实现顺畅传输，保证网上学习活动的顺利完成。扣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1分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。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lang w:val="en-US" w:eastAsia="zh-CN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4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管理体系</w:t>
            </w:r>
          </w:p>
        </w:tc>
        <w:tc>
          <w:tcPr>
            <w:tcW w:w="2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站点规章制度体系完善，管理规范。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8分。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①未建立站点规章制度或规章制度不完善，扣1-2分；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②设站单位领导重视程度不够，站点工作未纳入设站单位年度工作体系，未定时召开站点工作会，扣1分；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③站点工作年度无计划、无总结，不能积极主动配合主办高校做好管理与统计工作，扣1-2分；</w:t>
            </w:r>
          </w:p>
          <w:p>
            <w:pPr>
              <w:spacing w:line="280" w:lineRule="exact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④缺乏做好站点管理工作的激励措施，扣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3分。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4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招生录取</w:t>
            </w:r>
          </w:p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(1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分)</w:t>
            </w:r>
          </w:p>
        </w:tc>
        <w:tc>
          <w:tcPr>
            <w:tcW w:w="2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5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招生组织</w:t>
            </w:r>
          </w:p>
        </w:tc>
        <w:tc>
          <w:tcPr>
            <w:tcW w:w="2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严格执行招生制度，在主办高校指导下，做好所辖区域内生源组织和宣传工作。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10分。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①招生过程不规范，存在乱宣传、乱承诺现象的，每发现一起视情节扣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分；造成严重影响的，或与中介机构合作招生的，考评为不合格等次；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②招生规模年度不能达标的，扣1-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分。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4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6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报名录取</w:t>
            </w:r>
          </w:p>
        </w:tc>
        <w:tc>
          <w:tcPr>
            <w:tcW w:w="2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做好招生录取全过程服务工作。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5分。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①网上报名服务工作不到位，报名信息准确率不足100%的，扣1-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分；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②未有效组织考生参加成考，参考率低于90%的，扣1-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分；入学报到率低于95%的，扣1分。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44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教学管理</w:t>
            </w:r>
          </w:p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（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35分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）</w:t>
            </w:r>
          </w:p>
        </w:tc>
        <w:tc>
          <w:tcPr>
            <w:tcW w:w="2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7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教学组织</w:t>
            </w:r>
          </w:p>
        </w:tc>
        <w:tc>
          <w:tcPr>
            <w:tcW w:w="2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default" w:ascii="华文仿宋" w:hAnsi="华文仿宋" w:eastAsia="华文仿宋"/>
                <w:color w:val="000000"/>
                <w:lang w:val="en-US" w:eastAsia="zh-CN"/>
              </w:rPr>
              <w:t>按规定组织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教学</w:t>
            </w:r>
            <w:r>
              <w:rPr>
                <w:rFonts w:hint="default" w:ascii="华文仿宋" w:hAnsi="华文仿宋" w:eastAsia="华文仿宋"/>
                <w:color w:val="000000"/>
                <w:lang w:val="en-US" w:eastAsia="zh-CN"/>
              </w:rPr>
              <w:t>活动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，规范、有序、到位</w:t>
            </w:r>
            <w:r>
              <w:rPr>
                <w:rFonts w:hint="default" w:ascii="华文仿宋" w:hAnsi="华文仿宋" w:eastAsia="华文仿宋"/>
                <w:color w:val="000000"/>
                <w:lang w:val="en-US" w:eastAsia="zh-CN"/>
              </w:rPr>
              <w:t>，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教学执行质量优良。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23分。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①教学组织不规范，执行教学管理规定不到位，教学计划执行不完整，或未经审批随意变动的，扣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1-2分；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②年度教学计划未及时编制、上交，未定时召开教学工作会，扣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1-2分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；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③</w:t>
            </w:r>
            <w:r>
              <w:rPr>
                <w:rFonts w:hint="default" w:ascii="华文仿宋" w:hAnsi="华文仿宋" w:eastAsia="华文仿宋"/>
                <w:color w:val="000000"/>
                <w:lang w:val="en-US" w:eastAsia="zh-CN"/>
              </w:rPr>
              <w:t>教材（包括纸质教材和电子教材）、辅导资料、面授安排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没</w:t>
            </w:r>
            <w:r>
              <w:rPr>
                <w:rFonts w:hint="default" w:ascii="华文仿宋" w:hAnsi="华文仿宋" w:eastAsia="华文仿宋"/>
                <w:color w:val="000000"/>
                <w:lang w:val="en-US" w:eastAsia="zh-CN"/>
              </w:rPr>
              <w:t>及时发至学生手中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，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接到师生有关教学、服务等问题投诉的，扣1-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分；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④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聘用未经批准的教师承担教学任务的，扣1-2分；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⑤缺少督促学生按时到课的措施和办法，学生缺勤率高。出勤率低于90%以下，每减少10%扣1分，出勤率低于60%扣4分；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⑥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面授考勤记录表、教材发放表等教学档案记录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无专柜保存，记录不完整，扣1-3分；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⑦</w:t>
            </w:r>
            <w:r>
              <w:rPr>
                <w:rFonts w:hint="default" w:ascii="华文仿宋" w:hAnsi="华文仿宋" w:eastAsia="华文仿宋"/>
                <w:color w:val="000000"/>
                <w:lang w:val="en-US" w:eastAsia="zh-CN"/>
              </w:rPr>
              <w:t>对毕业论文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缺乏</w:t>
            </w:r>
            <w:r>
              <w:rPr>
                <w:rFonts w:hint="default" w:ascii="华文仿宋" w:hAnsi="华文仿宋" w:eastAsia="华文仿宋"/>
                <w:color w:val="000000"/>
                <w:lang w:val="en-US" w:eastAsia="zh-CN"/>
              </w:rPr>
              <w:t>检查督导措施，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没有</w:t>
            </w:r>
            <w:r>
              <w:rPr>
                <w:rFonts w:hint="default" w:ascii="华文仿宋" w:hAnsi="华文仿宋" w:eastAsia="华文仿宋"/>
                <w:color w:val="000000"/>
                <w:lang w:val="en-US" w:eastAsia="zh-CN"/>
              </w:rPr>
              <w:t>登记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或登记不全</w:t>
            </w:r>
            <w:r>
              <w:rPr>
                <w:rFonts w:hint="default" w:ascii="华文仿宋" w:hAnsi="华文仿宋" w:eastAsia="华文仿宋"/>
                <w:color w:val="000000"/>
                <w:lang w:val="en-US" w:eastAsia="zh-CN"/>
              </w:rPr>
              <w:t>，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没能完整、如实</w:t>
            </w:r>
            <w:r>
              <w:rPr>
                <w:rFonts w:hint="default" w:ascii="华文仿宋" w:hAnsi="华文仿宋" w:eastAsia="华文仿宋"/>
                <w:color w:val="000000"/>
                <w:lang w:val="en-US" w:eastAsia="zh-CN"/>
              </w:rPr>
              <w:t>保存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，扣1-3分；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⑧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组织执行网络教学计划缺乏力度。每学期，学生网络课程在线学习平均完成率低于80%的，扣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分；80%以上按未完成率乘以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实施扣分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。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44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8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考务工作</w:t>
            </w:r>
          </w:p>
        </w:tc>
        <w:tc>
          <w:tcPr>
            <w:tcW w:w="2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考试组织有序，管理规范，</w:t>
            </w:r>
            <w:r>
              <w:rPr>
                <w:rFonts w:hint="default" w:ascii="华文仿宋" w:hAnsi="华文仿宋" w:eastAsia="华文仿宋"/>
                <w:color w:val="000000"/>
                <w:lang w:val="en-US" w:eastAsia="zh-CN"/>
              </w:rPr>
              <w:t>考风端正，考纪严明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。4分。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①考场座位、监考教师等安排不符合考试规范，缺少考试安排表和考场记录表，扣1-2分；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②考风考纪不严肃，未及时、规范处置考场违规违纪行为，扣1-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分；造成不良社会影响的，考评为不合格等次。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44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9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成绩管理</w:t>
            </w:r>
          </w:p>
        </w:tc>
        <w:tc>
          <w:tcPr>
            <w:tcW w:w="2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试卷管理规范、成绩真实准确。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8分。</w:t>
            </w:r>
          </w:p>
          <w:p>
            <w:pPr>
              <w:spacing w:line="280" w:lineRule="exact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default" w:ascii="华文仿宋" w:hAnsi="华文仿宋" w:eastAsia="华文仿宋"/>
                <w:color w:val="000000"/>
                <w:lang w:eastAsia="zh-CN"/>
              </w:rPr>
              <w:t>①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没有保存试卷的专门地点，试卷保存不完整甚至缺失，扣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1-3分；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default" w:ascii="华文仿宋" w:hAnsi="华文仿宋" w:eastAsia="华文仿宋"/>
                <w:color w:val="000000"/>
                <w:lang w:eastAsia="zh-CN"/>
              </w:rPr>
              <w:t>②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成绩动态掌握不准确，未及时组织学生参加重修或缓考、补考，扣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1-3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分；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default" w:ascii="华文仿宋" w:hAnsi="华文仿宋" w:eastAsia="华文仿宋"/>
                <w:color w:val="000000"/>
                <w:lang w:eastAsia="zh-CN"/>
              </w:rPr>
              <w:t>③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成绩弄虚作假，扣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分；成绩恶意造假或造成不良影响的，考评为不合格等次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。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学籍管理</w:t>
            </w:r>
          </w:p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（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10分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）</w:t>
            </w:r>
          </w:p>
        </w:tc>
        <w:tc>
          <w:tcPr>
            <w:tcW w:w="2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10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学籍管理</w:t>
            </w:r>
          </w:p>
        </w:tc>
        <w:tc>
          <w:tcPr>
            <w:tcW w:w="2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学籍管理到位，组织有序。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10分。</w:t>
            </w:r>
          </w:p>
          <w:p>
            <w:pPr>
              <w:spacing w:line="280" w:lineRule="exact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①未开展新生资格初审或资料收集不齐全，扣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1-2分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②未在规定时间内上报学籍异动，扣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1-2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分；</w:t>
            </w:r>
          </w:p>
          <w:p>
            <w:pPr>
              <w:spacing w:line="280" w:lineRule="exact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③没有在规定时间内</w:t>
            </w:r>
            <w:r>
              <w:rPr>
                <w:rFonts w:hint="default" w:ascii="华文仿宋" w:hAnsi="华文仿宋" w:eastAsia="华文仿宋"/>
                <w:color w:val="000000"/>
                <w:lang w:val="en-US" w:eastAsia="zh-CN"/>
              </w:rPr>
              <w:t>组织学位英语考试报名及学位申请工作，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扣1-2分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④未安排专人负责毕业生图像采集工作，毕业生图像采集未达到95%以上，扣1-2分；</w:t>
            </w:r>
          </w:p>
          <w:p>
            <w:pPr>
              <w:spacing w:line="280" w:lineRule="exact"/>
              <w:rPr>
                <w:rFonts w:hint="eastAsia" w:ascii="华文仿宋" w:hAnsi="华文仿宋" w:eastAsia="华文仿宋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⑤毕业生登记表收交不及时、档案不齐全，扣1-2分。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44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经费运行</w:t>
            </w:r>
          </w:p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（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5分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）</w:t>
            </w:r>
          </w:p>
        </w:tc>
        <w:tc>
          <w:tcPr>
            <w:tcW w:w="269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11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学费催缴</w:t>
            </w:r>
          </w:p>
        </w:tc>
        <w:tc>
          <w:tcPr>
            <w:tcW w:w="2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积极协助、督促学生按时缴纳学费。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2分。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default" w:ascii="华文仿宋" w:hAnsi="华文仿宋" w:eastAsia="华文仿宋"/>
                <w:color w:val="000000"/>
                <w:lang w:eastAsia="zh-CN"/>
              </w:rPr>
              <w:t>①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未能及时督促学生上缴学费，学费收缴率低于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95%以下，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扣1分；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default" w:ascii="华文仿宋" w:hAnsi="华文仿宋" w:eastAsia="华文仿宋"/>
                <w:color w:val="000000"/>
                <w:lang w:eastAsia="zh-CN"/>
              </w:rPr>
              <w:t>②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存在未缴费学生注册上课的现象，每生扣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0.2分。</w:t>
            </w:r>
          </w:p>
          <w:p>
            <w:pPr>
              <w:spacing w:line="280" w:lineRule="exact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default" w:ascii="华文仿宋" w:hAnsi="华文仿宋" w:eastAsia="华文仿宋"/>
                <w:color w:val="000000"/>
                <w:lang w:val="en-US" w:eastAsia="zh-CN"/>
              </w:rPr>
              <w:t>③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存在乱收费学位，本次考核不合格。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44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</w:p>
        </w:tc>
        <w:tc>
          <w:tcPr>
            <w:tcW w:w="26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val="en-US" w:eastAsia="zh-CN"/>
              </w:rPr>
            </w:pP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经费管理</w:t>
            </w:r>
          </w:p>
        </w:tc>
        <w:tc>
          <w:tcPr>
            <w:tcW w:w="2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严格执行经费管理规范，使用合理。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3分。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default" w:ascii="华文仿宋" w:hAnsi="华文仿宋" w:eastAsia="华文仿宋"/>
                <w:color w:val="000000"/>
                <w:lang w:eastAsia="zh-CN"/>
              </w:rPr>
              <w:t>①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返还经费使用不当、存在挪用等违规现象的扣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-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分；造成严重后果的，考评为不合格等次；</w:t>
            </w:r>
          </w:p>
          <w:p>
            <w:pPr>
              <w:spacing w:line="280" w:lineRule="exact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default" w:ascii="华文仿宋" w:hAnsi="华文仿宋" w:eastAsia="华文仿宋"/>
                <w:color w:val="000000"/>
                <w:lang w:val="en-US" w:eastAsia="zh-CN"/>
              </w:rPr>
              <w:t>②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没有设立专项经费投入学习中心建设，扣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1分。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学生满意度</w:t>
            </w:r>
          </w:p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（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15</w:t>
            </w: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分）</w:t>
            </w:r>
          </w:p>
        </w:tc>
        <w:tc>
          <w:tcPr>
            <w:tcW w:w="2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12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学生满意度</w:t>
            </w:r>
          </w:p>
        </w:tc>
        <w:tc>
          <w:tcPr>
            <w:tcW w:w="2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华文仿宋" w:hAnsi="华文仿宋" w:eastAsia="华文仿宋"/>
                <w:color w:val="00000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学生支持，服务质量优良，学生满意度高。</w:t>
            </w:r>
            <w:r>
              <w:rPr>
                <w:rFonts w:hint="eastAsia" w:ascii="华文仿宋" w:hAnsi="华文仿宋" w:eastAsia="华文仿宋"/>
                <w:color w:val="000000"/>
                <w:lang w:val="en-US" w:eastAsia="zh-CN"/>
              </w:rPr>
              <w:t>15分。</w:t>
            </w:r>
          </w:p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eastAsia="zh-CN"/>
              </w:rPr>
              <w:t>针对教学服务、学生管理、后勤保障等方面开展学生满意度年度测评。测评平均分即为该项得分。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华文仿宋" w:hAnsi="华文仿宋" w:eastAsia="华文仿宋"/>
                <w:color w:val="000000"/>
                <w:lang w:eastAsia="zh-CN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</w:rPr>
            </w:pPr>
          </w:p>
        </w:tc>
        <w:tc>
          <w:tcPr>
            <w:tcW w:w="31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 w:cs="Calibri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合    计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Calibri"/>
                <w:szCs w:val="21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</w:tbl>
    <w:p>
      <w:pPr>
        <w:rPr>
          <w:rFonts w:cs="Calibri"/>
          <w:szCs w:val="21"/>
        </w:rPr>
      </w:pPr>
      <w:r>
        <w:t xml:space="preserve"> 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华文仿宋" w:hAnsi="华文仿宋" w:eastAsia="华文仿宋"/>
          <w:color w:val="000000"/>
        </w:rPr>
        <w:t xml:space="preserve"> </w:t>
      </w:r>
      <w:r>
        <w:rPr>
          <w:rFonts w:hint="eastAsia" w:ascii="华文仿宋" w:hAnsi="华文仿宋" w:eastAsia="华文仿宋"/>
          <w:color w:val="000000"/>
          <w:lang w:val="en-US" w:eastAsia="zh-CN"/>
        </w:rPr>
        <w:t xml:space="preserve">   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宋体" w:hAnsi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宋体" w:hAnsi="宋体"/>
          <w:sz w:val="24"/>
          <w:szCs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800" w:right="1440" w:bottom="1800" w:left="1440" w:header="851" w:footer="992" w:gutter="0"/>
          <w:cols w:space="425" w:num="1"/>
          <w:titlePg/>
          <w:docGrid w:type="lines" w:linePitch="312" w:charSpace="0"/>
        </w:sectPr>
      </w:pPr>
    </w:p>
    <w:p>
      <w:pPr>
        <w:rPr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方正仿宋_GBK" w:eastAsia="方正仿宋_GBK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方正仿宋_GBK" w:eastAsia="方正仿宋_GBK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方正仿宋_GBK" w:eastAsia="方正仿宋_GBK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方正仿宋_GBK" w:eastAsia="方正仿宋_GBK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方正仿宋_GBK" w:eastAsia="方正仿宋_GBK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方正仿宋_GBK" w:eastAsia="方正仿宋_GBK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方正仿宋_GBK" w:eastAsia="方正仿宋_GBK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方正仿宋_GBK" w:eastAsia="方正仿宋_GBK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方正仿宋_GBK" w:eastAsia="方正仿宋_GBK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方正仿宋_GBK" w:eastAsia="方正仿宋_GBK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方正仿宋_GBK" w:eastAsia="方正仿宋_GBK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方正仿宋_GBK" w:eastAsia="方正仿宋_GBK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方正仿宋_GBK" w:eastAsia="方正仿宋_GBK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方正仿宋_GBK" w:eastAsia="方正仿宋_GBK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方正仿宋_GBK" w:eastAsia="方正仿宋_GBK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方正仿宋_GBK" w:eastAsia="方正仿宋_GBK"/>
          <w:sz w:val="30"/>
          <w:szCs w:val="30"/>
        </w:rPr>
      </w:pPr>
    </w:p>
    <w:p>
      <w:pPr>
        <w:tabs>
          <w:tab w:val="left" w:pos="4965"/>
        </w:tabs>
        <w:adjustRightInd w:val="0"/>
        <w:snapToGrid w:val="0"/>
        <w:spacing w:line="360" w:lineRule="auto"/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ab/>
      </w:r>
    </w:p>
    <w:p>
      <w:pPr>
        <w:adjustRightInd w:val="0"/>
        <w:snapToGrid w:val="0"/>
        <w:spacing w:beforeLines="100" w:line="360" w:lineRule="auto"/>
        <w:ind w:firstLine="600" w:firstLineChars="200"/>
        <w:rPr>
          <w:rFonts w:ascii="方正仿宋_GBK" w:eastAsia="方正仿宋_GBK"/>
          <w:sz w:val="30"/>
          <w:szCs w:val="30"/>
        </w:rPr>
      </w:pPr>
    </w:p>
    <w:p>
      <w:pPr>
        <w:spacing w:line="444" w:lineRule="auto"/>
        <w:rPr>
          <w:rFonts w:ascii="方正仿宋_GBK" w:eastAsia="方正仿宋_GBK"/>
          <w:sz w:val="32"/>
          <w:szCs w:val="32"/>
        </w:rPr>
      </w:pPr>
    </w:p>
    <w:tbl>
      <w:tblPr>
        <w:tblStyle w:val="7"/>
        <w:tblW w:w="0" w:type="auto"/>
        <w:tblInd w:w="-72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44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安徽农业大学办公室                    2020年5月27日印发</w:t>
            </w:r>
          </w:p>
        </w:tc>
      </w:tr>
    </w:tbl>
    <w:p>
      <w:pPr>
        <w:spacing w:line="40" w:lineRule="exact"/>
        <w:rPr>
          <w:szCs w:val="30"/>
        </w:rPr>
      </w:pPr>
    </w:p>
    <w:p>
      <w:pPr>
        <w:spacing w:line="40" w:lineRule="exact"/>
        <w:rPr>
          <w:szCs w:val="30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Style w:val="9"/>
        <w:rFonts w:hint="eastAsia" w:cs="宋体"/>
        <w:kern w:val="0"/>
        <w:sz w:val="28"/>
        <w:szCs w:val="28"/>
      </w:rPr>
      <w:t>－</w:t>
    </w:r>
    <w:r>
      <w:rPr>
        <w:rStyle w:val="9"/>
        <w:rFonts w:hint="eastAsia" w:ascii="宋体" w:hAnsi="宋体" w:cs="宋体"/>
        <w:kern w:val="0"/>
        <w:sz w:val="28"/>
        <w:szCs w:val="28"/>
      </w:rPr>
      <w:fldChar w:fldCharType="begin"/>
    </w:r>
    <w:r>
      <w:rPr>
        <w:rStyle w:val="9"/>
        <w:rFonts w:hint="eastAsia" w:ascii="宋体" w:hAnsi="宋体" w:cs="宋体"/>
        <w:kern w:val="0"/>
        <w:sz w:val="28"/>
        <w:szCs w:val="28"/>
      </w:rPr>
      <w:instrText xml:space="preserve"> PAGE </w:instrText>
    </w:r>
    <w:r>
      <w:rPr>
        <w:rStyle w:val="9"/>
        <w:rFonts w:hint="eastAsia" w:ascii="宋体" w:hAnsi="宋体" w:cs="宋体"/>
        <w:kern w:val="0"/>
        <w:sz w:val="28"/>
        <w:szCs w:val="28"/>
      </w:rPr>
      <w:fldChar w:fldCharType="separate"/>
    </w:r>
    <w:r>
      <w:rPr>
        <w:rStyle w:val="9"/>
        <w:rFonts w:ascii="宋体" w:hAnsi="宋体" w:cs="宋体"/>
        <w:kern w:val="0"/>
        <w:sz w:val="28"/>
        <w:szCs w:val="28"/>
      </w:rPr>
      <w:t>7</w:t>
    </w:r>
    <w:r>
      <w:rPr>
        <w:rStyle w:val="9"/>
        <w:rFonts w:hint="eastAsia" w:ascii="宋体" w:hAnsi="宋体" w:cs="宋体"/>
        <w:kern w:val="0"/>
        <w:sz w:val="28"/>
        <w:szCs w:val="28"/>
      </w:rPr>
      <w:fldChar w:fldCharType="end"/>
    </w:r>
    <w:r>
      <w:rPr>
        <w:rStyle w:val="9"/>
        <w:rFonts w:hint="eastAsia" w:cs="宋体"/>
        <w:kern w:val="0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Style w:val="9"/>
        <w:rFonts w:hint="eastAsia" w:cs="宋体"/>
        <w:kern w:val="0"/>
        <w:sz w:val="28"/>
        <w:szCs w:val="28"/>
      </w:rPr>
      <w:t>－</w:t>
    </w:r>
    <w:r>
      <w:rPr>
        <w:rStyle w:val="9"/>
        <w:rFonts w:hint="eastAsia" w:ascii="宋体" w:hAnsi="宋体" w:cs="宋体"/>
        <w:kern w:val="0"/>
        <w:sz w:val="28"/>
        <w:szCs w:val="28"/>
      </w:rPr>
      <w:fldChar w:fldCharType="begin"/>
    </w:r>
    <w:r>
      <w:rPr>
        <w:rStyle w:val="9"/>
        <w:rFonts w:hint="eastAsia" w:ascii="宋体" w:hAnsi="宋体" w:cs="宋体"/>
        <w:kern w:val="0"/>
        <w:sz w:val="28"/>
        <w:szCs w:val="28"/>
      </w:rPr>
      <w:instrText xml:space="preserve"> PAGE </w:instrText>
    </w:r>
    <w:r>
      <w:rPr>
        <w:rStyle w:val="9"/>
        <w:rFonts w:hint="eastAsia" w:ascii="宋体" w:hAnsi="宋体" w:cs="宋体"/>
        <w:kern w:val="0"/>
        <w:sz w:val="28"/>
        <w:szCs w:val="28"/>
      </w:rPr>
      <w:fldChar w:fldCharType="separate"/>
    </w:r>
    <w:r>
      <w:rPr>
        <w:rStyle w:val="9"/>
        <w:rFonts w:ascii="宋体" w:hAnsi="宋体" w:cs="宋体"/>
        <w:kern w:val="0"/>
        <w:sz w:val="28"/>
        <w:szCs w:val="28"/>
      </w:rPr>
      <w:t>6</w:t>
    </w:r>
    <w:r>
      <w:rPr>
        <w:rStyle w:val="9"/>
        <w:rFonts w:hint="eastAsia" w:ascii="宋体" w:hAnsi="宋体" w:cs="宋体"/>
        <w:kern w:val="0"/>
        <w:sz w:val="28"/>
        <w:szCs w:val="28"/>
      </w:rPr>
      <w:fldChar w:fldCharType="end"/>
    </w:r>
    <w:r>
      <w:rPr>
        <w:rStyle w:val="9"/>
        <w:rFonts w:hint="eastAsia" w:cs="宋体"/>
        <w:kern w:val="0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Style w:val="9"/>
        <w:rFonts w:hint="eastAsia" w:cs="宋体"/>
        <w:kern w:val="0"/>
        <w:sz w:val="28"/>
        <w:szCs w:val="28"/>
      </w:rPr>
      <w:t>－</w:t>
    </w:r>
    <w:r>
      <w:rPr>
        <w:rStyle w:val="9"/>
        <w:rFonts w:hint="eastAsia" w:ascii="宋体" w:hAnsi="宋体" w:cs="宋体"/>
        <w:kern w:val="0"/>
        <w:sz w:val="28"/>
        <w:szCs w:val="28"/>
      </w:rPr>
      <w:t>8</w:t>
    </w:r>
    <w:r>
      <w:rPr>
        <w:rStyle w:val="9"/>
        <w:rFonts w:hint="eastAsia" w:cs="宋体"/>
        <w:kern w:val="0"/>
        <w:sz w:val="28"/>
        <w:szCs w:val="28"/>
      </w:rPr>
      <w:t>－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0C7"/>
    <w:rsid w:val="00055E66"/>
    <w:rsid w:val="000E662E"/>
    <w:rsid w:val="001C4D16"/>
    <w:rsid w:val="001D2963"/>
    <w:rsid w:val="001E6B9A"/>
    <w:rsid w:val="002038E6"/>
    <w:rsid w:val="00255F02"/>
    <w:rsid w:val="002A10C7"/>
    <w:rsid w:val="00360E66"/>
    <w:rsid w:val="003C17C7"/>
    <w:rsid w:val="00421F3B"/>
    <w:rsid w:val="004A6F21"/>
    <w:rsid w:val="004D4AF1"/>
    <w:rsid w:val="005032CE"/>
    <w:rsid w:val="005E300C"/>
    <w:rsid w:val="006C720C"/>
    <w:rsid w:val="007F4CEC"/>
    <w:rsid w:val="00815BCD"/>
    <w:rsid w:val="008918D6"/>
    <w:rsid w:val="008B465B"/>
    <w:rsid w:val="008C4227"/>
    <w:rsid w:val="00937594"/>
    <w:rsid w:val="00962B9B"/>
    <w:rsid w:val="00972D4F"/>
    <w:rsid w:val="009A6268"/>
    <w:rsid w:val="009B6E5F"/>
    <w:rsid w:val="00A3652F"/>
    <w:rsid w:val="00B71AF4"/>
    <w:rsid w:val="00B92AD2"/>
    <w:rsid w:val="00BC6F2B"/>
    <w:rsid w:val="00CA49B3"/>
    <w:rsid w:val="00CD3DAD"/>
    <w:rsid w:val="00DF7BAF"/>
    <w:rsid w:val="00E845FC"/>
    <w:rsid w:val="00F853CA"/>
    <w:rsid w:val="01DD4775"/>
    <w:rsid w:val="029D2BB2"/>
    <w:rsid w:val="11F302E2"/>
    <w:rsid w:val="17662EB6"/>
    <w:rsid w:val="1A26081B"/>
    <w:rsid w:val="275E744F"/>
    <w:rsid w:val="27CD4D77"/>
    <w:rsid w:val="2D543566"/>
    <w:rsid w:val="2EDF7991"/>
    <w:rsid w:val="3DE241A8"/>
    <w:rsid w:val="4004420C"/>
    <w:rsid w:val="483D48DE"/>
    <w:rsid w:val="55CC6238"/>
    <w:rsid w:val="56972A8C"/>
    <w:rsid w:val="59746F93"/>
    <w:rsid w:val="5B492714"/>
    <w:rsid w:val="652859D6"/>
    <w:rsid w:val="6C952E4F"/>
    <w:rsid w:val="737A6446"/>
    <w:rsid w:val="7B893796"/>
    <w:rsid w:val="7DE945D7"/>
    <w:rsid w:val="7FAF0D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unhideWhenUsed/>
    <w:qFormat/>
    <w:uiPriority w:val="99"/>
    <w:pPr>
      <w:jc w:val="left"/>
    </w:pPr>
    <w:rPr>
      <w:rFonts w:ascii="宋体" w:hAnsi="宋体" w:cs="宋体"/>
      <w:szCs w:val="21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color w:val="575757"/>
      <w:kern w:val="0"/>
      <w:sz w:val="18"/>
      <w:szCs w:val="18"/>
    </w:rPr>
  </w:style>
  <w:style w:type="character" w:styleId="9">
    <w:name w:val="page number"/>
    <w:basedOn w:val="8"/>
    <w:semiHidden/>
    <w:unhideWhenUsed/>
    <w:qFormat/>
    <w:uiPriority w:val="0"/>
  </w:style>
  <w:style w:type="character" w:customStyle="1" w:styleId="10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标题 2 Char"/>
    <w:basedOn w:val="8"/>
    <w:link w:val="2"/>
    <w:qFormat/>
    <w:uiPriority w:val="99"/>
    <w:rPr>
      <w:rFonts w:ascii="宋体" w:hAnsi="宋体" w:cs="宋体"/>
      <w:b/>
      <w:bCs/>
      <w:sz w:val="36"/>
      <w:szCs w:val="36"/>
    </w:rPr>
  </w:style>
  <w:style w:type="character" w:customStyle="1" w:styleId="13">
    <w:name w:val="批注文字 Char"/>
    <w:basedOn w:val="8"/>
    <w:link w:val="3"/>
    <w:qFormat/>
    <w:uiPriority w:val="99"/>
    <w:rPr>
      <w:rFonts w:ascii="宋体" w:hAnsi="宋体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Abu设计</Manager>
  <Company>Abu设计</Company>
  <Pages>1</Pages>
  <Words>21</Words>
  <Characters>21</Characters>
  <Lines>0</Lines>
  <Paragraphs>0</Paragraphs>
  <TotalTime>3</TotalTime>
  <ScaleCrop>false</ScaleCrop>
  <LinksUpToDate>false</LinksUpToDate>
  <CharactersWithSpaces>21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信纸</cp:category>
  <dcterms:created xsi:type="dcterms:W3CDTF">2018-02-20T15:36:00Z</dcterms:created>
  <dc:creator>Abu设计</dc:creator>
  <dc:description>更多Abu设计的信纸请访问
http://chn.docer.com/works?userid=415014680
谢谢支持</dc:description>
  <cp:keywords>信纸 信笺背景</cp:keywords>
  <cp:lastModifiedBy>寒冷的夏天在哪儿</cp:lastModifiedBy>
  <cp:lastPrinted>2020-05-27T01:41:00Z</cp:lastPrinted>
  <dcterms:modified xsi:type="dcterms:W3CDTF">2021-04-19T01:20:14Z</dcterms:modified>
  <dc:subject>信纸</dc:subject>
  <dc:title>信纸-Abu设计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B0B9BF8E3BE34C60B6FAF37767E4B1FA</vt:lpwstr>
  </property>
</Properties>
</file>